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Quicksand" w:cs="Quicksand" w:eastAsia="Quicksand" w:hAnsi="Quicksand"/>
          <w:b w:val="1"/>
          <w:sz w:val="40"/>
          <w:szCs w:val="40"/>
        </w:rPr>
      </w:pPr>
      <w:bookmarkStart w:colFirst="0" w:colLast="0" w:name="_4a8bphewmpp5" w:id="0"/>
      <w:bookmarkEnd w:id="0"/>
      <w:r w:rsidDel="00000000" w:rsidR="00000000" w:rsidRPr="00000000">
        <w:rPr>
          <w:rFonts w:ascii="Quicksand" w:cs="Quicksand" w:eastAsia="Quicksand" w:hAnsi="Quicksand"/>
          <w:b w:val="1"/>
          <w:sz w:val="40"/>
          <w:szCs w:val="40"/>
          <w:rtl w:val="0"/>
        </w:rPr>
        <w:t xml:space="preserve">Solo taxonomy rubric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Quicksand" w:cs="Quicksand" w:eastAsia="Quicksand" w:hAnsi="Quicksand"/>
          <w:sz w:val="40"/>
          <w:szCs w:val="40"/>
        </w:rPr>
      </w:pPr>
      <w:bookmarkStart w:colFirst="0" w:colLast="0" w:name="_z2oijbz555qm" w:id="1"/>
      <w:bookmarkEnd w:id="1"/>
      <w:r w:rsidDel="00000000" w:rsidR="00000000" w:rsidRPr="00000000">
        <w:rPr>
          <w:rFonts w:ascii="Quicksand" w:cs="Quicksand" w:eastAsia="Quicksand" w:hAnsi="Quicksand"/>
          <w:sz w:val="40"/>
          <w:szCs w:val="40"/>
          <w:rtl w:val="0"/>
        </w:rPr>
        <w:t xml:space="preserve">Seabed mapping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rFonts w:ascii="Quicksand" w:cs="Quicksand" w:eastAsia="Quicksand" w:hAnsi="Quicksand"/>
          <w:b w:val="1"/>
        </w:rPr>
      </w:pPr>
      <w:bookmarkStart w:colFirst="0" w:colLast="0" w:name="_ue8vd3dn3o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highlight w:val="yellow"/>
        </w:rPr>
      </w:pPr>
      <w:bookmarkStart w:colFirst="0" w:colLast="0" w:name="_lj63f1a38qm8" w:id="3"/>
      <w:bookmarkEnd w:id="3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Field trip: </w:t>
      </w:r>
      <w:r w:rsidDel="00000000" w:rsidR="00000000" w:rsidRPr="00000000">
        <w:rPr>
          <w:rFonts w:ascii="Quicksand" w:cs="Quicksand" w:eastAsia="Quicksand" w:hAnsi="Quicksand"/>
          <w:i w:val="1"/>
          <w:rtl w:val="0"/>
        </w:rPr>
        <w:t xml:space="preserve">What lies beneath? Discovering the secrets of our seabed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This assessment aims to highlight ākonga understanding as they engage in activities and discussions related to seafloor mapping and its real-world applications.</w:t>
      </w:r>
    </w:p>
    <w:p w:rsidR="00000000" w:rsidDel="00000000" w:rsidP="00000000" w:rsidRDefault="00000000" w:rsidRPr="00000000" w14:paraId="00000008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Tailor discussions and activities to align with your learners’ needs, teaching objectives, and local considerations, ensuring a focus on understanding our seafloor. Adapt as needed. </w:t>
      </w:r>
    </w:p>
    <w:p w:rsidR="00000000" w:rsidDel="00000000" w:rsidP="00000000" w:rsidRDefault="00000000" w:rsidRPr="00000000" w14:paraId="0000000A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1: Prestructural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Yet to exhibit an understanding of the value of seabed mapping and the application of hydrographic data.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Yet to identify fundamental concepts related to seabed mapping and data application.</w:t>
      </w:r>
    </w:p>
    <w:p w:rsidR="00000000" w:rsidDel="00000000" w:rsidP="00000000" w:rsidRDefault="00000000" w:rsidRPr="00000000" w14:paraId="0000000E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2: Unistructural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Grasps one or two key concepts related to seabed mapping and data application.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Identifies some elements but has yet to develop a deep understanding.</w:t>
      </w:r>
    </w:p>
    <w:p w:rsidR="00000000" w:rsidDel="00000000" w:rsidP="00000000" w:rsidRDefault="00000000" w:rsidRPr="00000000" w14:paraId="00000012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3: Multistructural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Exhibits an understanding of several key concepts related to the value of seabed mapping and data application as explored in the field trip.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Describes the significance of these concepts but may need further development in understanding their connections.</w:t>
      </w:r>
    </w:p>
    <w:p w:rsidR="00000000" w:rsidDel="00000000" w:rsidP="00000000" w:rsidRDefault="00000000" w:rsidRPr="00000000" w14:paraId="00000016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4: Relational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Displays a robust understanding of seabed mapping and data application, successfully connecting various concepts explored during the field trip.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Discusses the interrelationships between different elements, draw conclusions, and recognise the importance of key concepts</w:t>
      </w:r>
    </w:p>
    <w:p w:rsidR="00000000" w:rsidDel="00000000" w:rsidP="00000000" w:rsidRDefault="00000000" w:rsidRPr="00000000" w14:paraId="0000001A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5: Extended Abstract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Demonstrates a sophisticated understanding of seabed mapping and data application, synthesising complex information and critically thinking about the topic.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Applies knowledge to real-world situations and reflects on the broader implications of seabed mapping.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.8582677165355" w:top="1133.8582677165355" w:left="1133.8582677165355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0" w:firstLine="0"/>
      <w:rPr>
        <w:rFonts w:ascii="Quicksand" w:cs="Quicksand" w:eastAsia="Quicksand" w:hAnsi="Quicksand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sz w:val="18"/>
        <w:szCs w:val="18"/>
        <w:rtl w:val="0"/>
      </w:rPr>
      <w:t xml:space="preserve">©LEARNZ Tātai Aho Rau Core Educ</w:t>
    </w:r>
    <w:r w:rsidDel="00000000" w:rsidR="00000000" w:rsidRPr="00000000">
      <w:rPr>
        <w:sz w:val="18"/>
        <w:szCs w:val="18"/>
        <w:rtl w:val="0"/>
      </w:rPr>
      <w:t xml:space="preserve">ation Ltd 2023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©LEARNZ Tātai Aho Rau Core Education Ltd 2023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Style w:val="Title"/>
      <w:jc w:val="right"/>
      <w:rPr/>
    </w:pPr>
    <w:bookmarkStart w:colFirst="0" w:colLast="0" w:name="_mw16felk641m" w:id="4"/>
    <w:bookmarkEnd w:id="4"/>
    <w:r w:rsidDel="00000000" w:rsidR="00000000" w:rsidRPr="00000000">
      <w:rPr/>
      <w:drawing>
        <wp:inline distB="114300" distT="114300" distL="114300" distR="114300">
          <wp:extent cx="2591663" cy="8423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368" l="0" r="0" t="29690"/>
                  <a:stretch>
                    <a:fillRect/>
                  </a:stretch>
                </pic:blipFill>
                <pic:spPr>
                  <a:xfrm>
                    <a:off x="0" y="0"/>
                    <a:ext cx="2591663" cy="8423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34343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-141.73228346456688" w:firstLine="0"/>
    </w:pPr>
    <w:rPr>
      <w:color w:val="666666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60" w:lineRule="auto"/>
      <w:ind w:left="1080" w:firstLine="720"/>
    </w:pPr>
    <w:rPr>
      <w:color w:val="f9423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Rule="auto"/>
    </w:pPr>
    <w:rPr>
      <w:color w:val="66666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