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</w:rPr>
      </w:pPr>
      <w:bookmarkStart w:colFirst="0" w:colLast="0" w:name="_eqt69ea6bovp" w:id="0"/>
      <w:bookmarkEnd w:id="0"/>
      <w:r w:rsidDel="00000000" w:rsidR="00000000" w:rsidRPr="00000000">
        <w:rPr>
          <w:rFonts w:ascii="Quicksand" w:cs="Quicksand" w:eastAsia="Quicksand" w:hAnsi="Quicksand"/>
          <w:rtl w:val="0"/>
        </w:rPr>
        <w:t xml:space="preserve">Post trip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b w:val="1"/>
        </w:rPr>
      </w:pPr>
      <w:bookmarkStart w:colFirst="0" w:colLast="0" w:name="_ua624srl0yk9" w:id="1"/>
      <w:bookmarkEnd w:id="1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Pakake, New Zealand sea lions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The questions below are designed to evaluate ākonga learning about marine ecology, the significance of taoka/taonga species (particularly pakake), and conservation. These questions inspire critical thinking about conservation of taoka/taonga species and they encourage ākonga-led inquiry.</w:t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Copy and paste questions and answers into a platform like Google Forms or Survey Monkey for this activity.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What's one interesting thing you discovered about how the population of pakake is bouncing back?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Did this field trip help you better understand the connection between local iwi and pakake? Describe the relationship between local iwi and pakake.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comes to mind when you think about marine ecology? Where is your nearest marine ecosystem? What animals, plants, and people are part of the marine ecology in your rohe?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Why are marine ecosystems important? Why do they need protecting?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Explain the role of pakake in the ocean and why they're like superheroes for the health of our oceans.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Summarise the opinions about marine ecology which were presented during the virtual field trip. How did hearing these views change the way you think about marine ecology?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Think about how this field trip helped you understand  how important it is to protect taoka/taonga species. Do you know of any conservation efforts happening in your community? If not, do you think there should be? How can you contribute to local conservation?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What do you think individuals or groups in your community can do to help keep taoka/taonga species safe and sustainable? Share your thoughts.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Do you feel more connected to the ocean and marine life, like pakake, after our field trip? If you do, why?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Are there any questions or topics about pakake, taoka/taonga species, marine ecology, or conservation that continue to spark your curiosity? If so, share them here.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sz w:val="18"/>
        <w:szCs w:val="18"/>
        <w:rtl w:val="0"/>
      </w:rPr>
      <w:t xml:space="preserve">©LEARNZ Tātai Aho Rau Core Education Ltd 2023</w:t>
      <w:tab/>
      <w:tab/>
      <w:tab/>
      <w:tab/>
      <w:tab/>
      <w:tab/>
      <w:tab/>
      <w:tab/>
      <w:tab/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Title"/>
      <w:jc w:val="right"/>
      <w:rPr/>
    </w:pPr>
    <w:bookmarkStart w:colFirst="0" w:colLast="0" w:name="_6h5wz4bt1wpd" w:id="2"/>
    <w:bookmarkEnd w:id="2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