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Quicksand" w:cs="Quicksand" w:eastAsia="Quicksand" w:hAnsi="Quicksand"/>
          <w:b w:val="1"/>
          <w:sz w:val="40"/>
          <w:szCs w:val="40"/>
        </w:rPr>
      </w:pPr>
      <w:bookmarkStart w:colFirst="0" w:colLast="0" w:name="_4a8bphewmpp5" w:id="0"/>
      <w:bookmarkEnd w:id="0"/>
      <w:r w:rsidDel="00000000" w:rsidR="00000000" w:rsidRPr="00000000">
        <w:rPr>
          <w:rFonts w:ascii="Quicksand" w:cs="Quicksand" w:eastAsia="Quicksand" w:hAnsi="Quicksand"/>
          <w:b w:val="1"/>
          <w:sz w:val="40"/>
          <w:szCs w:val="40"/>
          <w:rtl w:val="0"/>
        </w:rPr>
        <w:t xml:space="preserve">Solo taxonomy rubric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Quicksand" w:cs="Quicksand" w:eastAsia="Quicksand" w:hAnsi="Quicksand"/>
          <w:sz w:val="40"/>
          <w:szCs w:val="40"/>
        </w:rPr>
      </w:pPr>
      <w:bookmarkStart w:colFirst="0" w:colLast="0" w:name="_z2oijbz555qm" w:id="1"/>
      <w:bookmarkEnd w:id="1"/>
      <w:r w:rsidDel="00000000" w:rsidR="00000000" w:rsidRPr="00000000">
        <w:rPr>
          <w:rFonts w:ascii="Quicksand" w:cs="Quicksand" w:eastAsia="Quicksand" w:hAnsi="Quicksand"/>
          <w:sz w:val="40"/>
          <w:szCs w:val="40"/>
          <w:rtl w:val="0"/>
        </w:rPr>
        <w:t xml:space="preserve">Marine ecology </w:t>
      </w:r>
      <w:r w:rsidDel="00000000" w:rsidR="00000000" w:rsidRPr="00000000">
        <w:rPr>
          <w:rFonts w:ascii="Quicksand" w:cs="Quicksand" w:eastAsia="Quicksand" w:hAnsi="Quicksand"/>
          <w:sz w:val="40"/>
          <w:szCs w:val="40"/>
          <w:rtl w:val="0"/>
        </w:rPr>
        <w:t xml:space="preserve">comprehension</w:t>
      </w:r>
    </w:p>
    <w:p w:rsidR="00000000" w:rsidDel="00000000" w:rsidP="00000000" w:rsidRDefault="00000000" w:rsidRPr="00000000" w14:paraId="00000004">
      <w:pPr>
        <w:pStyle w:val="Subtitle"/>
        <w:rPr>
          <w:rFonts w:ascii="Quicksand" w:cs="Quicksand" w:eastAsia="Quicksand" w:hAnsi="Quicksand"/>
          <w:b w:val="1"/>
        </w:rPr>
      </w:pPr>
      <w:bookmarkStart w:colFirst="0" w:colLast="0" w:name="_ue8vd3dn3o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highlight w:val="yellow"/>
        </w:rPr>
      </w:pPr>
      <w:bookmarkStart w:colFirst="0" w:colLast="0" w:name="_lj63f1a38qm8" w:id="3"/>
      <w:bookmarkEnd w:id="3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Field trip: </w:t>
      </w:r>
      <w:r w:rsidDel="00000000" w:rsidR="00000000" w:rsidRPr="00000000">
        <w:rPr>
          <w:rFonts w:ascii="Quicksand" w:cs="Quicksand" w:eastAsia="Quicksand" w:hAnsi="Quicksand"/>
          <w:i w:val="1"/>
          <w:rtl w:val="0"/>
        </w:rPr>
        <w:t xml:space="preserve">Pakake, New Zealand sea lions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This rubric aligns with the New Zealand Curriculum's Te Ao Tūroa | Science and Te ao tangata | Social Sciences learning areas, facilitating ākonga exploration of marine ecosystems, taoka/taonga species, and conservation.</w:t>
      </w:r>
    </w:p>
    <w:p w:rsidR="00000000" w:rsidDel="00000000" w:rsidP="00000000" w:rsidRDefault="00000000" w:rsidRPr="00000000" w14:paraId="00000008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Use this rubric to assess ākonga's understanding as they engage in activities and discussions related to marine ecosystems, taoka/taonga species, and conservation. Modify  discussions and activities  to meet the  needs of your class, your teaching objectives, and local conservation issues. Adapt it as needed.</w:t>
      </w:r>
    </w:p>
    <w:p w:rsidR="00000000" w:rsidDel="00000000" w:rsidP="00000000" w:rsidRDefault="00000000" w:rsidRPr="00000000" w14:paraId="0000000A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1: Prestructural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Has yet to exhibit an understanding of marine ecosystems, taoka/taonga species, or conservation.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Has</w:t>
      </w: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yet to identify fundamental concepts linked to taoka/taonga species, or conservation.</w:t>
      </w:r>
    </w:p>
    <w:p w:rsidR="00000000" w:rsidDel="00000000" w:rsidP="00000000" w:rsidRDefault="00000000" w:rsidRPr="00000000" w14:paraId="0000000E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2: Unistructural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Has a grasp of one or two key concepts of marine ecosystems, taoka/taonga species, or conservation.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Can identify some basic elements but has yet to develop a profound understanding.</w:t>
      </w:r>
    </w:p>
    <w:p w:rsidR="00000000" w:rsidDel="00000000" w:rsidP="00000000" w:rsidRDefault="00000000" w:rsidRPr="00000000" w14:paraId="00000012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3: Multistructural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Exhibits an understanding of several key concepts related to marine ecosystems, taoka/taonga species, and conservation identified in the field trip.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Can describe the significance of marine ecosystems, taoka/taonga species, and need for conservation. Although there is discernible understanding about the connections between concepts, further development may be needed.</w:t>
      </w:r>
    </w:p>
    <w:p w:rsidR="00000000" w:rsidDel="00000000" w:rsidP="00000000" w:rsidRDefault="00000000" w:rsidRPr="00000000" w14:paraId="00000016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4: Relational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Displays a robust understanding of marine ecosystems, taoka/taonga species, and conservation, successfully identifying connections between various concepts explored during the field trip.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Can discuss the interrelationships between different elements, draw conclusions, and recognise the importance of these concepts in the context of kaitiakitanga | environmental stewardship.</w:t>
      </w:r>
    </w:p>
    <w:p w:rsidR="00000000" w:rsidDel="00000000" w:rsidP="00000000" w:rsidRDefault="00000000" w:rsidRPr="00000000" w14:paraId="0000001A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5: Extended Abstract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Exhibits a sophisticated understanding of marine ecosystems, taoka/taonga species, and conservation. Ākonga can synthesise complex information, think critically about the topic, apply their knowledge to real-world situations, and reflect on the broader implications of conservation efforts.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Demonstrates a deep appreciation of the interconnectivity of ecosystems and the significance of protecting taoka/taonga species in Aotearoa.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133.8582677165355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0" w:firstLine="0"/>
      <w:rPr>
        <w:rFonts w:ascii="Quicksand" w:cs="Quicksand" w:eastAsia="Quicksand" w:hAnsi="Quicksand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sz w:val="18"/>
        <w:szCs w:val="18"/>
        <w:rtl w:val="0"/>
      </w:rPr>
      <w:t xml:space="preserve">©LEARNZ Tātai Aho Rau Core Educ</w:t>
    </w:r>
    <w:r w:rsidDel="00000000" w:rsidR="00000000" w:rsidRPr="00000000">
      <w:rPr>
        <w:sz w:val="18"/>
        <w:szCs w:val="18"/>
        <w:rtl w:val="0"/>
      </w:rPr>
      <w:t xml:space="preserve">ation Ltd 2023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©LEARNZ Tātai Aho Rau Core Education Ltd 2023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Style w:val="Title"/>
      <w:jc w:val="right"/>
      <w:rPr/>
    </w:pPr>
    <w:bookmarkStart w:colFirst="0" w:colLast="0" w:name="_mw16felk641m" w:id="4"/>
    <w:bookmarkEnd w:id="4"/>
    <w:r w:rsidDel="00000000" w:rsidR="00000000" w:rsidRPr="00000000">
      <w:rPr/>
      <w:drawing>
        <wp:inline distB="114300" distT="114300" distL="114300" distR="114300">
          <wp:extent cx="2591663" cy="842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368" l="0" r="0" t="29690"/>
                  <a:stretch>
                    <a:fillRect/>
                  </a:stretch>
                </pic:blipFill>
                <pic:spPr>
                  <a:xfrm>
                    <a:off x="0" y="0"/>
                    <a:ext cx="2591663" cy="842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3434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-141.73228346456688" w:firstLine="0"/>
    </w:pPr>
    <w:rPr>
      <w:color w:val="666666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1080" w:firstLine="720"/>
    </w:pPr>
    <w:rPr>
      <w:color w:val="f9423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Rule="auto"/>
    </w:pPr>
    <w:rPr>
      <w:color w:val="66666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