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Quicksand" w:cs="Quicksand" w:eastAsia="Quicksand" w:hAnsi="Quicksand"/>
          <w:sz w:val="40"/>
          <w:szCs w:val="40"/>
        </w:rPr>
      </w:pPr>
      <w:bookmarkStart w:colFirst="0" w:colLast="0" w:name="_4a8bphewmpp5" w:id="0"/>
      <w:bookmarkEnd w:id="0"/>
      <w:r w:rsidDel="00000000" w:rsidR="00000000" w:rsidRPr="00000000">
        <w:rPr>
          <w:rFonts w:ascii="Quicksand" w:cs="Quicksand" w:eastAsia="Quicksand" w:hAnsi="Quicksand"/>
          <w:b w:val="1"/>
          <w:sz w:val="40"/>
          <w:szCs w:val="40"/>
          <w:rtl w:val="0"/>
        </w:rPr>
        <w:t xml:space="preserve">Solo taxonomy rubric: </w:t>
      </w:r>
      <w:r w:rsidDel="00000000" w:rsidR="00000000" w:rsidRPr="00000000">
        <w:rPr>
          <w:rFonts w:ascii="Quicksand" w:cs="Quicksand" w:eastAsia="Quicksand" w:hAnsi="Quicksand"/>
          <w:sz w:val="40"/>
          <w:szCs w:val="40"/>
          <w:rtl w:val="0"/>
        </w:rPr>
        <w:t xml:space="preserve">Ākonga-led inquiry</w:t>
      </w:r>
    </w:p>
    <w:p w:rsidR="00000000" w:rsidDel="00000000" w:rsidP="00000000" w:rsidRDefault="00000000" w:rsidRPr="00000000" w14:paraId="00000002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666666"/>
          <w:sz w:val="30"/>
          <w:szCs w:val="30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color w:val="666666"/>
          <w:sz w:val="30"/>
          <w:szCs w:val="30"/>
          <w:rtl w:val="0"/>
        </w:rPr>
        <w:t xml:space="preserve">Pakake, New Zealand sea lions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This rubric evaluates ākonga inquiry, critical thinking, and problem-solving abilities in the context of the pakake virtual field trip.</w:t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1: Prestructural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Has not yet identified a specific sustainability and conservation challenge about taoka/taonga species to investigate.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Has not identified any relevant questions or issues.</w:t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2: Unistructural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Able to identify a specific sustainability and conservation challenge concerning taoka/taonga species to explore.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Completes a basic analysis or proposes simple solutions.</w:t>
      </w:r>
    </w:p>
    <w:p w:rsidR="00000000" w:rsidDel="00000000" w:rsidP="00000000" w:rsidRDefault="00000000" w:rsidRPr="00000000" w14:paraId="0000000D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3: Multistructural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Engages in critical thinking by identifying and exploring sustainability and conservation challenges specific to taoka/taonga species.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Attempts to address these challenges with basic or straightforward solutions.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Demonstrates awareness of the connections between the challenges and their proposed solutions, with a focus on the well-being of taoka/taonga species.</w:t>
      </w:r>
    </w:p>
    <w:p w:rsidR="00000000" w:rsidDel="00000000" w:rsidP="00000000" w:rsidRDefault="00000000" w:rsidRPr="00000000" w14:paraId="00000012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4: Relational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Demonstrates strong critical thinking and problem-solving skills by investigating a specific sustainability and conservation challenge related to taoka/taonga species.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Considers</w:t>
      </w: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 both scientific and social aspects of this challenge.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Provides comprehensive solutions or strategies to address these challenges, and </w:t>
      </w: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demonstrates</w:t>
      </w: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 a profound understanding of potential impacts on the taoka/taonga species and their ecosystem.</w:t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Fonts w:ascii="Quicksand" w:cs="Quicksand" w:eastAsia="Quicksand" w:hAnsi="Quicksand"/>
          <w:b w:val="1"/>
          <w:sz w:val="21"/>
          <w:szCs w:val="21"/>
          <w:rtl w:val="0"/>
        </w:rPr>
        <w:t xml:space="preserve">Level 5: Extended 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Excels in critical thinking and problem-solving, displaying remarkable depth, creativity, and innovation in their inquiry, with a strong emphasis on the importance of sustainability and conservation of a taoka/taonga species.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Identifies challenges and opportunities for innovation in addressing sustainability and conservation, and prioritising the well-being of taoka/taonga species.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  <w:sz w:val="21"/>
          <w:szCs w:val="21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1"/>
          <w:szCs w:val="21"/>
          <w:rtl w:val="0"/>
        </w:rPr>
        <w:t xml:space="preserve">Presents a comprehensive, well-supported solution that considers long-term consequences and the broader impact on the community while championing the conservation of taoka/taonga species.</w:t>
      </w:r>
    </w:p>
    <w:p w:rsidR="00000000" w:rsidDel="00000000" w:rsidP="00000000" w:rsidRDefault="00000000" w:rsidRPr="00000000" w14:paraId="0000001C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sz w:val="20"/>
        <w:szCs w:val="20"/>
        <w:rtl w:val="0"/>
      </w:rPr>
      <w:t xml:space="preserve">©LEARNZ Tātai Aho Rau Core Education Ltd 2023</w:t>
    </w:r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Style w:val="Title"/>
      <w:jc w:val="right"/>
      <w:rPr/>
    </w:pPr>
    <w:bookmarkStart w:colFirst="0" w:colLast="0" w:name="_ojr5mw4hoh6" w:id="1"/>
    <w:bookmarkEnd w:id="1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