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02">
      <w:pPr>
        <w:pStyle w:val="Title"/>
        <w:rPr>
          <w:rFonts w:ascii="Quicksand" w:cs="Quicksand" w:eastAsia="Quicksand" w:hAnsi="Quicksand"/>
          <w:sz w:val="40"/>
          <w:szCs w:val="40"/>
        </w:rPr>
      </w:pPr>
      <w:bookmarkStart w:colFirst="0" w:colLast="0" w:name="_4a8bphewmpp5" w:id="0"/>
      <w:bookmarkEnd w:id="0"/>
      <w:r w:rsidDel="00000000" w:rsidR="00000000" w:rsidRPr="00000000">
        <w:rPr>
          <w:rFonts w:ascii="Quicksand" w:cs="Quicksand" w:eastAsia="Quicksand" w:hAnsi="Quicksand"/>
          <w:b w:val="1"/>
          <w:sz w:val="40"/>
          <w:szCs w:val="40"/>
          <w:rtl w:val="0"/>
        </w:rPr>
        <w:t xml:space="preserve">Solo taxonomy rubric:</w:t>
      </w:r>
      <w:r w:rsidDel="00000000" w:rsidR="00000000" w:rsidRPr="00000000">
        <w:rPr>
          <w:rFonts w:ascii="Quicksand" w:cs="Quicksand" w:eastAsia="Quicksand" w:hAnsi="Quicksand"/>
          <w:b w:val="1"/>
          <w:sz w:val="40"/>
          <w:szCs w:val="40"/>
          <w:rtl w:val="0"/>
        </w:rPr>
        <w:t xml:space="preserve"> </w:t>
      </w:r>
      <w:r w:rsidDel="00000000" w:rsidR="00000000" w:rsidRPr="00000000">
        <w:rPr>
          <w:rFonts w:ascii="Quicksand" w:cs="Quicksand" w:eastAsia="Quicksand" w:hAnsi="Quicksand"/>
          <w:sz w:val="40"/>
          <w:szCs w:val="40"/>
          <w:rtl w:val="0"/>
        </w:rPr>
        <w:t xml:space="preserve">Ecological comprehension</w:t>
      </w:r>
    </w:p>
    <w:p w:rsidR="00000000" w:rsidDel="00000000" w:rsidP="00000000" w:rsidRDefault="00000000" w:rsidRPr="00000000" w14:paraId="00000003">
      <w:pPr>
        <w:pStyle w:val="Subtitle"/>
        <w:rPr>
          <w:highlight w:val="yellow"/>
        </w:rPr>
      </w:pPr>
      <w:bookmarkStart w:colFirst="0" w:colLast="0" w:name="_lj63f1a38qm8" w:id="1"/>
      <w:bookmarkEnd w:id="1"/>
      <w:r w:rsidDel="00000000" w:rsidR="00000000" w:rsidRPr="00000000">
        <w:rPr>
          <w:rFonts w:ascii="Quicksand" w:cs="Quicksand" w:eastAsia="Quicksand" w:hAnsi="Quicksand"/>
          <w:b w:val="1"/>
          <w:rtl w:val="0"/>
        </w:rPr>
        <w:t xml:space="preserve">Field trip: </w:t>
      </w:r>
      <w:r w:rsidDel="00000000" w:rsidR="00000000" w:rsidRPr="00000000">
        <w:rPr>
          <w:rFonts w:ascii="Quicksand" w:cs="Quicksand" w:eastAsia="Quicksand" w:hAnsi="Quicksand"/>
          <w:i w:val="1"/>
          <w:rtl w:val="0"/>
        </w:rPr>
        <w:t xml:space="preserve">Environmental guardianship in Tamatea Dusky Sound</w:t>
      </w:r>
      <w:r w:rsidDel="00000000" w:rsidR="00000000" w:rsidRPr="00000000">
        <w:rPr>
          <w:rtl w:val="0"/>
        </w:rPr>
      </w:r>
    </w:p>
    <w:p w:rsidR="00000000" w:rsidDel="00000000" w:rsidP="00000000" w:rsidRDefault="00000000" w:rsidRPr="00000000" w14:paraId="00000004">
      <w:pPr>
        <w:rPr>
          <w:rFonts w:ascii="Quicksand" w:cs="Quicksand" w:eastAsia="Quicksand" w:hAnsi="Quicksand"/>
        </w:rPr>
      </w:pPr>
      <w:r w:rsidDel="00000000" w:rsidR="00000000" w:rsidRPr="00000000">
        <w:rPr>
          <w:rtl w:val="0"/>
        </w:rPr>
      </w:r>
    </w:p>
    <w:p w:rsidR="00000000" w:rsidDel="00000000" w:rsidP="00000000" w:rsidRDefault="00000000" w:rsidRPr="00000000" w14:paraId="00000005">
      <w:pPr>
        <w:rPr>
          <w:rFonts w:ascii="Quicksand" w:cs="Quicksand" w:eastAsia="Quicksand" w:hAnsi="Quicksand"/>
          <w:sz w:val="21"/>
          <w:szCs w:val="21"/>
        </w:rPr>
      </w:pPr>
      <w:r w:rsidDel="00000000" w:rsidR="00000000" w:rsidRPr="00000000">
        <w:rPr>
          <w:rFonts w:ascii="Quicksand" w:cs="Quicksand" w:eastAsia="Quicksand" w:hAnsi="Quicksand"/>
          <w:sz w:val="21"/>
          <w:szCs w:val="21"/>
          <w:rtl w:val="0"/>
        </w:rPr>
        <w:t xml:space="preserve">This rubric aligns with the New Zealand Curriculum's Science and Social Sciences learning areas, facilitating ākonga exploration of marine and forest ecosystems, fostering their understanding of biodiversity, and encouraging them to recognise the vital role of conservation efforts. </w:t>
      </w:r>
    </w:p>
    <w:p w:rsidR="00000000" w:rsidDel="00000000" w:rsidP="00000000" w:rsidRDefault="00000000" w:rsidRPr="00000000" w14:paraId="00000006">
      <w:pPr>
        <w:rPr>
          <w:rFonts w:ascii="Quicksand" w:cs="Quicksand" w:eastAsia="Quicksand" w:hAnsi="Quicksand"/>
          <w:sz w:val="21"/>
          <w:szCs w:val="21"/>
        </w:rPr>
      </w:pPr>
      <w:r w:rsidDel="00000000" w:rsidR="00000000" w:rsidRPr="00000000">
        <w:rPr>
          <w:rtl w:val="0"/>
        </w:rPr>
      </w:r>
    </w:p>
    <w:p w:rsidR="00000000" w:rsidDel="00000000" w:rsidP="00000000" w:rsidRDefault="00000000" w:rsidRPr="00000000" w14:paraId="00000007">
      <w:pPr>
        <w:rPr>
          <w:rFonts w:ascii="Quicksand" w:cs="Quicksand" w:eastAsia="Quicksand" w:hAnsi="Quicksand"/>
          <w:sz w:val="21"/>
          <w:szCs w:val="21"/>
        </w:rPr>
      </w:pPr>
      <w:r w:rsidDel="00000000" w:rsidR="00000000" w:rsidRPr="00000000">
        <w:rPr>
          <w:rFonts w:ascii="Quicksand" w:cs="Quicksand" w:eastAsia="Quicksand" w:hAnsi="Quicksand"/>
          <w:sz w:val="21"/>
          <w:szCs w:val="21"/>
          <w:rtl w:val="0"/>
        </w:rPr>
        <w:t xml:space="preserve">It places a particular emphasis on developing ecological comprehension, and assessing the degree of insight into the interconnectedness inherent in ecosystems. The rubric's five progressive levels of comprehension provide a flexible framework for evaluating ākonga understanding, accommodating diverse levels of engagement and depth of knowledge, and can be adapted for a range of year levels. </w:t>
      </w:r>
    </w:p>
    <w:p w:rsidR="00000000" w:rsidDel="00000000" w:rsidP="00000000" w:rsidRDefault="00000000" w:rsidRPr="00000000" w14:paraId="00000008">
      <w:pPr>
        <w:rPr>
          <w:rFonts w:ascii="Quicksand" w:cs="Quicksand" w:eastAsia="Quicksand" w:hAnsi="Quicksand"/>
          <w:sz w:val="21"/>
          <w:szCs w:val="21"/>
        </w:rPr>
      </w:pPr>
      <w:r w:rsidDel="00000000" w:rsidR="00000000" w:rsidRPr="00000000">
        <w:rPr>
          <w:rtl w:val="0"/>
        </w:rPr>
      </w:r>
    </w:p>
    <w:p w:rsidR="00000000" w:rsidDel="00000000" w:rsidP="00000000" w:rsidRDefault="00000000" w:rsidRPr="00000000" w14:paraId="00000009">
      <w:pPr>
        <w:rPr>
          <w:rFonts w:ascii="Quicksand" w:cs="Quicksand" w:eastAsia="Quicksand" w:hAnsi="Quicksand"/>
          <w:b w:val="1"/>
          <w:sz w:val="21"/>
          <w:szCs w:val="21"/>
        </w:rPr>
      </w:pPr>
      <w:r w:rsidDel="00000000" w:rsidR="00000000" w:rsidRPr="00000000">
        <w:rPr>
          <w:rFonts w:ascii="Quicksand" w:cs="Quicksand" w:eastAsia="Quicksand" w:hAnsi="Quicksand"/>
          <w:b w:val="1"/>
          <w:sz w:val="21"/>
          <w:szCs w:val="21"/>
          <w:rtl w:val="0"/>
        </w:rPr>
        <w:t xml:space="preserve">Level 1: Prestructural</w:t>
      </w:r>
    </w:p>
    <w:p w:rsidR="00000000" w:rsidDel="00000000" w:rsidP="00000000" w:rsidRDefault="00000000" w:rsidRPr="00000000" w14:paraId="0000000A">
      <w:pPr>
        <w:numPr>
          <w:ilvl w:val="0"/>
          <w:numId w:val="5"/>
        </w:numPr>
        <w:ind w:left="720" w:hanging="360"/>
        <w:rPr>
          <w:rFonts w:ascii="Quicksand" w:cs="Quicksand" w:eastAsia="Quicksand" w:hAnsi="Quicksand"/>
          <w:sz w:val="21"/>
          <w:szCs w:val="21"/>
        </w:rPr>
      </w:pPr>
      <w:r w:rsidDel="00000000" w:rsidR="00000000" w:rsidRPr="00000000">
        <w:rPr>
          <w:rFonts w:ascii="Quicksand" w:cs="Quicksand" w:eastAsia="Quicksand" w:hAnsi="Quicksand"/>
          <w:sz w:val="21"/>
          <w:szCs w:val="21"/>
          <w:rtl w:val="0"/>
        </w:rPr>
        <w:t xml:space="preserve">Has yet to exhibit an understanding of ecosystems, biodiversity, or conservation in the context of the field trip. </w:t>
      </w:r>
    </w:p>
    <w:p w:rsidR="00000000" w:rsidDel="00000000" w:rsidP="00000000" w:rsidRDefault="00000000" w:rsidRPr="00000000" w14:paraId="0000000B">
      <w:pPr>
        <w:numPr>
          <w:ilvl w:val="0"/>
          <w:numId w:val="5"/>
        </w:numPr>
        <w:ind w:left="720" w:hanging="360"/>
        <w:rPr>
          <w:rFonts w:ascii="Quicksand" w:cs="Quicksand" w:eastAsia="Quicksand" w:hAnsi="Quicksand"/>
          <w:sz w:val="21"/>
          <w:szCs w:val="21"/>
        </w:rPr>
      </w:pPr>
      <w:r w:rsidDel="00000000" w:rsidR="00000000" w:rsidRPr="00000000">
        <w:rPr>
          <w:rFonts w:ascii="Quicksand" w:cs="Quicksand" w:eastAsia="Quicksand" w:hAnsi="Quicksand"/>
          <w:sz w:val="21"/>
          <w:szCs w:val="21"/>
          <w:rtl w:val="0"/>
        </w:rPr>
        <w:t xml:space="preserve">Has</w:t>
      </w:r>
      <w:r w:rsidDel="00000000" w:rsidR="00000000" w:rsidRPr="00000000">
        <w:rPr>
          <w:rFonts w:ascii="Quicksand" w:cs="Quicksand" w:eastAsia="Quicksand" w:hAnsi="Quicksand"/>
          <w:sz w:val="21"/>
          <w:szCs w:val="21"/>
          <w:rtl w:val="0"/>
        </w:rPr>
        <w:t xml:space="preserve"> </w:t>
      </w:r>
      <w:r w:rsidDel="00000000" w:rsidR="00000000" w:rsidRPr="00000000">
        <w:rPr>
          <w:rFonts w:ascii="Quicksand" w:cs="Quicksand" w:eastAsia="Quicksand" w:hAnsi="Quicksand"/>
          <w:sz w:val="21"/>
          <w:szCs w:val="21"/>
          <w:rtl w:val="0"/>
        </w:rPr>
        <w:t xml:space="preserve">yet to identify fundamental concepts linked to marine and forest ecosystems, biodiversity, or conservation endeavours.</w:t>
      </w:r>
    </w:p>
    <w:p w:rsidR="00000000" w:rsidDel="00000000" w:rsidP="00000000" w:rsidRDefault="00000000" w:rsidRPr="00000000" w14:paraId="0000000C">
      <w:pPr>
        <w:rPr>
          <w:rFonts w:ascii="Quicksand" w:cs="Quicksand" w:eastAsia="Quicksand" w:hAnsi="Quicksand"/>
          <w:sz w:val="21"/>
          <w:szCs w:val="21"/>
        </w:rPr>
      </w:pPr>
      <w:r w:rsidDel="00000000" w:rsidR="00000000" w:rsidRPr="00000000">
        <w:rPr>
          <w:rtl w:val="0"/>
        </w:rPr>
      </w:r>
    </w:p>
    <w:p w:rsidR="00000000" w:rsidDel="00000000" w:rsidP="00000000" w:rsidRDefault="00000000" w:rsidRPr="00000000" w14:paraId="0000000D">
      <w:pPr>
        <w:rPr>
          <w:rFonts w:ascii="Quicksand" w:cs="Quicksand" w:eastAsia="Quicksand" w:hAnsi="Quicksand"/>
          <w:b w:val="1"/>
          <w:sz w:val="21"/>
          <w:szCs w:val="21"/>
        </w:rPr>
      </w:pPr>
      <w:r w:rsidDel="00000000" w:rsidR="00000000" w:rsidRPr="00000000">
        <w:rPr>
          <w:rFonts w:ascii="Quicksand" w:cs="Quicksand" w:eastAsia="Quicksand" w:hAnsi="Quicksand"/>
          <w:b w:val="1"/>
          <w:sz w:val="21"/>
          <w:szCs w:val="21"/>
          <w:rtl w:val="0"/>
        </w:rPr>
        <w:t xml:space="preserve">Level 2: Unistructural</w:t>
      </w:r>
    </w:p>
    <w:p w:rsidR="00000000" w:rsidDel="00000000" w:rsidP="00000000" w:rsidRDefault="00000000" w:rsidRPr="00000000" w14:paraId="0000000E">
      <w:pPr>
        <w:numPr>
          <w:ilvl w:val="0"/>
          <w:numId w:val="1"/>
        </w:numPr>
        <w:ind w:left="720" w:hanging="360"/>
        <w:rPr>
          <w:rFonts w:ascii="Quicksand" w:cs="Quicksand" w:eastAsia="Quicksand" w:hAnsi="Quicksand"/>
          <w:sz w:val="21"/>
          <w:szCs w:val="21"/>
        </w:rPr>
      </w:pPr>
      <w:r w:rsidDel="00000000" w:rsidR="00000000" w:rsidRPr="00000000">
        <w:rPr>
          <w:rFonts w:ascii="Quicksand" w:cs="Quicksand" w:eastAsia="Quicksand" w:hAnsi="Quicksand"/>
          <w:sz w:val="21"/>
          <w:szCs w:val="21"/>
          <w:rtl w:val="0"/>
        </w:rPr>
        <w:t xml:space="preserve">Has a grasp of one or two key concepts pertaining to ecosystems, biodiversity, or conservation within the field trip. </w:t>
      </w:r>
    </w:p>
    <w:p w:rsidR="00000000" w:rsidDel="00000000" w:rsidP="00000000" w:rsidRDefault="00000000" w:rsidRPr="00000000" w14:paraId="0000000F">
      <w:pPr>
        <w:numPr>
          <w:ilvl w:val="0"/>
          <w:numId w:val="1"/>
        </w:numPr>
        <w:ind w:left="720" w:hanging="360"/>
        <w:rPr>
          <w:rFonts w:ascii="Quicksand" w:cs="Quicksand" w:eastAsia="Quicksand" w:hAnsi="Quicksand"/>
          <w:sz w:val="21"/>
          <w:szCs w:val="21"/>
        </w:rPr>
      </w:pPr>
      <w:r w:rsidDel="00000000" w:rsidR="00000000" w:rsidRPr="00000000">
        <w:rPr>
          <w:rFonts w:ascii="Quicksand" w:cs="Quicksand" w:eastAsia="Quicksand" w:hAnsi="Quicksand"/>
          <w:sz w:val="21"/>
          <w:szCs w:val="21"/>
          <w:rtl w:val="0"/>
        </w:rPr>
        <w:t xml:space="preserve">Can identify some basic elements but have yet to develop a profound understanding.</w:t>
      </w:r>
    </w:p>
    <w:p w:rsidR="00000000" w:rsidDel="00000000" w:rsidP="00000000" w:rsidRDefault="00000000" w:rsidRPr="00000000" w14:paraId="00000010">
      <w:pPr>
        <w:rPr>
          <w:rFonts w:ascii="Quicksand" w:cs="Quicksand" w:eastAsia="Quicksand" w:hAnsi="Quicksand"/>
          <w:sz w:val="21"/>
          <w:szCs w:val="21"/>
        </w:rPr>
      </w:pPr>
      <w:r w:rsidDel="00000000" w:rsidR="00000000" w:rsidRPr="00000000">
        <w:rPr>
          <w:rtl w:val="0"/>
        </w:rPr>
      </w:r>
    </w:p>
    <w:p w:rsidR="00000000" w:rsidDel="00000000" w:rsidP="00000000" w:rsidRDefault="00000000" w:rsidRPr="00000000" w14:paraId="00000011">
      <w:pPr>
        <w:rPr>
          <w:rFonts w:ascii="Quicksand" w:cs="Quicksand" w:eastAsia="Quicksand" w:hAnsi="Quicksand"/>
          <w:b w:val="1"/>
          <w:sz w:val="21"/>
          <w:szCs w:val="21"/>
        </w:rPr>
      </w:pPr>
      <w:r w:rsidDel="00000000" w:rsidR="00000000" w:rsidRPr="00000000">
        <w:rPr>
          <w:rFonts w:ascii="Quicksand" w:cs="Quicksand" w:eastAsia="Quicksand" w:hAnsi="Quicksand"/>
          <w:b w:val="1"/>
          <w:sz w:val="21"/>
          <w:szCs w:val="21"/>
          <w:rtl w:val="0"/>
        </w:rPr>
        <w:t xml:space="preserve">Level 3: Multistructural</w:t>
      </w:r>
    </w:p>
    <w:p w:rsidR="00000000" w:rsidDel="00000000" w:rsidP="00000000" w:rsidRDefault="00000000" w:rsidRPr="00000000" w14:paraId="00000012">
      <w:pPr>
        <w:numPr>
          <w:ilvl w:val="0"/>
          <w:numId w:val="3"/>
        </w:numPr>
        <w:ind w:left="720" w:hanging="360"/>
        <w:rPr>
          <w:rFonts w:ascii="Quicksand" w:cs="Quicksand" w:eastAsia="Quicksand" w:hAnsi="Quicksand"/>
          <w:sz w:val="21"/>
          <w:szCs w:val="21"/>
        </w:rPr>
      </w:pPr>
      <w:r w:rsidDel="00000000" w:rsidR="00000000" w:rsidRPr="00000000">
        <w:rPr>
          <w:rFonts w:ascii="Quicksand" w:cs="Quicksand" w:eastAsia="Quicksand" w:hAnsi="Quicksand"/>
          <w:sz w:val="21"/>
          <w:szCs w:val="21"/>
          <w:rtl w:val="0"/>
        </w:rPr>
        <w:t xml:space="preserve">Exhibits an understanding of several key concepts related to ecosystems, biodiversity, or conservation within the field trip. </w:t>
      </w:r>
    </w:p>
    <w:p w:rsidR="00000000" w:rsidDel="00000000" w:rsidP="00000000" w:rsidRDefault="00000000" w:rsidRPr="00000000" w14:paraId="00000013">
      <w:pPr>
        <w:numPr>
          <w:ilvl w:val="0"/>
          <w:numId w:val="3"/>
        </w:numPr>
        <w:ind w:left="720" w:hanging="360"/>
        <w:rPr>
          <w:rFonts w:ascii="Quicksand" w:cs="Quicksand" w:eastAsia="Quicksand" w:hAnsi="Quicksand"/>
          <w:sz w:val="21"/>
          <w:szCs w:val="21"/>
        </w:rPr>
      </w:pPr>
      <w:r w:rsidDel="00000000" w:rsidR="00000000" w:rsidRPr="00000000">
        <w:rPr>
          <w:rFonts w:ascii="Quicksand" w:cs="Quicksand" w:eastAsia="Quicksand" w:hAnsi="Quicksand"/>
          <w:sz w:val="21"/>
          <w:szCs w:val="21"/>
          <w:rtl w:val="0"/>
        </w:rPr>
        <w:t xml:space="preserve">Can describe the significance of marine and forest ecosystems, the importance of biodiversity, and the necessity for conservation. Although there is discernible understanding and connections between concepts, further development may be needed.</w:t>
      </w:r>
    </w:p>
    <w:p w:rsidR="00000000" w:rsidDel="00000000" w:rsidP="00000000" w:rsidRDefault="00000000" w:rsidRPr="00000000" w14:paraId="00000014">
      <w:pPr>
        <w:rPr>
          <w:rFonts w:ascii="Quicksand" w:cs="Quicksand" w:eastAsia="Quicksand" w:hAnsi="Quicksand"/>
          <w:sz w:val="21"/>
          <w:szCs w:val="21"/>
        </w:rPr>
      </w:pPr>
      <w:r w:rsidDel="00000000" w:rsidR="00000000" w:rsidRPr="00000000">
        <w:rPr>
          <w:rtl w:val="0"/>
        </w:rPr>
      </w:r>
    </w:p>
    <w:p w:rsidR="00000000" w:rsidDel="00000000" w:rsidP="00000000" w:rsidRDefault="00000000" w:rsidRPr="00000000" w14:paraId="00000015">
      <w:pPr>
        <w:rPr>
          <w:rFonts w:ascii="Quicksand" w:cs="Quicksand" w:eastAsia="Quicksand" w:hAnsi="Quicksand"/>
          <w:b w:val="1"/>
          <w:sz w:val="21"/>
          <w:szCs w:val="21"/>
        </w:rPr>
      </w:pPr>
      <w:r w:rsidDel="00000000" w:rsidR="00000000" w:rsidRPr="00000000">
        <w:rPr>
          <w:rFonts w:ascii="Quicksand" w:cs="Quicksand" w:eastAsia="Quicksand" w:hAnsi="Quicksand"/>
          <w:b w:val="1"/>
          <w:sz w:val="21"/>
          <w:szCs w:val="21"/>
          <w:rtl w:val="0"/>
        </w:rPr>
        <w:t xml:space="preserve">Level 4: Relational</w:t>
      </w:r>
    </w:p>
    <w:p w:rsidR="00000000" w:rsidDel="00000000" w:rsidP="00000000" w:rsidRDefault="00000000" w:rsidRPr="00000000" w14:paraId="00000016">
      <w:pPr>
        <w:numPr>
          <w:ilvl w:val="0"/>
          <w:numId w:val="2"/>
        </w:numPr>
        <w:ind w:left="720" w:hanging="360"/>
        <w:rPr>
          <w:rFonts w:ascii="Quicksand" w:cs="Quicksand" w:eastAsia="Quicksand" w:hAnsi="Quicksand"/>
          <w:sz w:val="21"/>
          <w:szCs w:val="21"/>
        </w:rPr>
      </w:pPr>
      <w:r w:rsidDel="00000000" w:rsidR="00000000" w:rsidRPr="00000000">
        <w:rPr>
          <w:rFonts w:ascii="Quicksand" w:cs="Quicksand" w:eastAsia="Quicksand" w:hAnsi="Quicksand"/>
          <w:sz w:val="21"/>
          <w:szCs w:val="21"/>
          <w:rtl w:val="0"/>
        </w:rPr>
        <w:t xml:space="preserve">Displays a robust understanding of ecosystems, biodiversity, and conservation, successfully establishing connections among various concepts within the field trip. </w:t>
      </w:r>
    </w:p>
    <w:p w:rsidR="00000000" w:rsidDel="00000000" w:rsidP="00000000" w:rsidRDefault="00000000" w:rsidRPr="00000000" w14:paraId="00000017">
      <w:pPr>
        <w:numPr>
          <w:ilvl w:val="0"/>
          <w:numId w:val="2"/>
        </w:numPr>
        <w:ind w:left="720" w:hanging="360"/>
        <w:rPr>
          <w:rFonts w:ascii="Quicksand" w:cs="Quicksand" w:eastAsia="Quicksand" w:hAnsi="Quicksand"/>
          <w:sz w:val="21"/>
          <w:szCs w:val="21"/>
        </w:rPr>
      </w:pPr>
      <w:r w:rsidDel="00000000" w:rsidR="00000000" w:rsidRPr="00000000">
        <w:rPr>
          <w:rFonts w:ascii="Quicksand" w:cs="Quicksand" w:eastAsia="Quicksand" w:hAnsi="Quicksand"/>
          <w:sz w:val="21"/>
          <w:szCs w:val="21"/>
          <w:rtl w:val="0"/>
        </w:rPr>
        <w:t xml:space="preserve">Can describe the interdependence between marine and forest ecosystems, articulate the critical role of biodiversity in maintaining ecosystem health, and expound on the significance of conservation efforts. Their explanations are supported by relevant examples.</w:t>
      </w:r>
    </w:p>
    <w:p w:rsidR="00000000" w:rsidDel="00000000" w:rsidP="00000000" w:rsidRDefault="00000000" w:rsidRPr="00000000" w14:paraId="00000018">
      <w:pPr>
        <w:rPr>
          <w:rFonts w:ascii="Quicksand" w:cs="Quicksand" w:eastAsia="Quicksand" w:hAnsi="Quicksand"/>
          <w:sz w:val="21"/>
          <w:szCs w:val="21"/>
        </w:rPr>
      </w:pPr>
      <w:r w:rsidDel="00000000" w:rsidR="00000000" w:rsidRPr="00000000">
        <w:rPr>
          <w:rtl w:val="0"/>
        </w:rPr>
      </w:r>
    </w:p>
    <w:p w:rsidR="00000000" w:rsidDel="00000000" w:rsidP="00000000" w:rsidRDefault="00000000" w:rsidRPr="00000000" w14:paraId="00000019">
      <w:pPr>
        <w:rPr>
          <w:rFonts w:ascii="Quicksand" w:cs="Quicksand" w:eastAsia="Quicksand" w:hAnsi="Quicksand"/>
          <w:b w:val="1"/>
          <w:sz w:val="21"/>
          <w:szCs w:val="21"/>
        </w:rPr>
      </w:pPr>
      <w:r w:rsidDel="00000000" w:rsidR="00000000" w:rsidRPr="00000000">
        <w:rPr>
          <w:rFonts w:ascii="Quicksand" w:cs="Quicksand" w:eastAsia="Quicksand" w:hAnsi="Quicksand"/>
          <w:b w:val="1"/>
          <w:sz w:val="21"/>
          <w:szCs w:val="21"/>
          <w:rtl w:val="0"/>
        </w:rPr>
        <w:t xml:space="preserve">Level 5: Extended abstract</w:t>
      </w:r>
    </w:p>
    <w:p w:rsidR="00000000" w:rsidDel="00000000" w:rsidP="00000000" w:rsidRDefault="00000000" w:rsidRPr="00000000" w14:paraId="0000001A">
      <w:pPr>
        <w:numPr>
          <w:ilvl w:val="0"/>
          <w:numId w:val="4"/>
        </w:numPr>
        <w:ind w:left="720" w:hanging="360"/>
        <w:rPr>
          <w:rFonts w:ascii="Quicksand" w:cs="Quicksand" w:eastAsia="Quicksand" w:hAnsi="Quicksand"/>
          <w:sz w:val="21"/>
          <w:szCs w:val="21"/>
        </w:rPr>
      </w:pPr>
      <w:r w:rsidDel="00000000" w:rsidR="00000000" w:rsidRPr="00000000">
        <w:rPr>
          <w:rFonts w:ascii="Quicksand" w:cs="Quicksand" w:eastAsia="Quicksand" w:hAnsi="Quicksand"/>
          <w:sz w:val="21"/>
          <w:szCs w:val="21"/>
          <w:rtl w:val="0"/>
        </w:rPr>
        <w:t xml:space="preserve">Demonstrates a sophisticated understanding of ecosystems, biodiversity, and conservation, progressing past the information provided in the field trip. </w:t>
      </w:r>
    </w:p>
    <w:p w:rsidR="00000000" w:rsidDel="00000000" w:rsidP="00000000" w:rsidRDefault="00000000" w:rsidRPr="00000000" w14:paraId="0000001B">
      <w:pPr>
        <w:numPr>
          <w:ilvl w:val="0"/>
          <w:numId w:val="4"/>
        </w:numPr>
        <w:ind w:left="720" w:hanging="360"/>
        <w:rPr>
          <w:rFonts w:ascii="Quicksand" w:cs="Quicksand" w:eastAsia="Quicksand" w:hAnsi="Quicksand"/>
          <w:sz w:val="21"/>
          <w:szCs w:val="21"/>
        </w:rPr>
      </w:pPr>
      <w:r w:rsidDel="00000000" w:rsidR="00000000" w:rsidRPr="00000000">
        <w:rPr>
          <w:rFonts w:ascii="Quicksand" w:cs="Quicksand" w:eastAsia="Quicksand" w:hAnsi="Quicksand"/>
          <w:sz w:val="21"/>
          <w:szCs w:val="21"/>
          <w:rtl w:val="0"/>
        </w:rPr>
        <w:t xml:space="preserve">Can explain concepts and also engage in critical analysis. Furthermore, they generate thought-provoking questions regarding the field trip's content, displaying a profound curiosity </w:t>
      </w:r>
      <w:r w:rsidDel="00000000" w:rsidR="00000000" w:rsidRPr="00000000">
        <w:rPr>
          <w:rFonts w:ascii="Quicksand" w:cs="Quicksand" w:eastAsia="Quicksand" w:hAnsi="Quicksand"/>
          <w:sz w:val="21"/>
          <w:szCs w:val="21"/>
          <w:rtl w:val="0"/>
        </w:rPr>
        <w:t xml:space="preserve">and an ability to apply their knowledge to real-world situations.</w:t>
      </w:r>
      <w:r w:rsidDel="00000000" w:rsidR="00000000" w:rsidRPr="00000000">
        <w:rPr>
          <w:rtl w:val="0"/>
        </w:rPr>
      </w:r>
    </w:p>
    <w:sectPr>
      <w:headerReference r:id="rId6" w:type="default"/>
      <w:headerReference r:id="rId7" w:type="first"/>
      <w:footerReference r:id="rId8" w:type="default"/>
      <w:footerReference r:id="rId9" w:type="first"/>
      <w:pgSz w:h="16838" w:w="11906" w:orient="portrait"/>
      <w:pgMar w:bottom="1133.8582677165355" w:top="1133.8582677165355" w:left="1133.8582677165355" w:right="1133.858267716535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Quicksan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sz w:val="18"/>
        <w:szCs w:val="18"/>
        <w:rtl w:val="0"/>
      </w:rPr>
      <w:t xml:space="preserve">©LEARNZ Tātai Aho Rau Core Education Ltd 2023</w:t>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right"/>
      <w:rPr>
        <w:sz w:val="18"/>
        <w:szCs w:val="18"/>
      </w:rPr>
    </w:pPr>
    <w:r w:rsidDel="00000000" w:rsidR="00000000" w:rsidRPr="00000000">
      <w:rPr>
        <w:sz w:val="18"/>
        <w:szCs w:val="18"/>
        <w:rtl w:val="0"/>
      </w:rPr>
      <w:t xml:space="preserve">©LEARNZ Tātai Aho Rau Core Education Ltd 2023</w:t>
    </w:r>
  </w:p>
  <w:p w:rsidR="00000000" w:rsidDel="00000000" w:rsidP="00000000" w:rsidRDefault="00000000" w:rsidRPr="00000000" w14:paraId="0000002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Style w:val="Title"/>
      <w:jc w:val="right"/>
      <w:rPr/>
    </w:pPr>
    <w:bookmarkStart w:colFirst="0" w:colLast="0" w:name="_mw16felk641m" w:id="2"/>
    <w:bookmarkEnd w:id="2"/>
    <w:r w:rsidDel="00000000" w:rsidR="00000000" w:rsidRPr="00000000">
      <w:rPr/>
      <w:drawing>
        <wp:inline distB="114300" distT="114300" distL="114300" distR="114300">
          <wp:extent cx="2591663" cy="842391"/>
          <wp:effectExtent b="0" l="0" r="0" t="0"/>
          <wp:docPr id="1" name="image1.png"/>
          <a:graphic>
            <a:graphicData uri="http://schemas.openxmlformats.org/drawingml/2006/picture">
              <pic:pic>
                <pic:nvPicPr>
                  <pic:cNvPr id="0" name="image1.png"/>
                  <pic:cNvPicPr preferRelativeResize="0"/>
                </pic:nvPicPr>
                <pic:blipFill>
                  <a:blip r:embed="rId1"/>
                  <a:srcRect b="24368" l="0" r="0" t="29690"/>
                  <a:stretch>
                    <a:fillRect/>
                  </a:stretch>
                </pic:blipFill>
                <pic:spPr>
                  <a:xfrm>
                    <a:off x="0" y="0"/>
                    <a:ext cx="2591663" cy="84239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434343"/>
        <w:sz w:val="22"/>
        <w:szCs w:val="22"/>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141.73228346456688" w:firstLine="0"/>
    </w:pPr>
    <w:rPr>
      <w:color w:val="666666"/>
      <w:sz w:val="34"/>
      <w:szCs w:val="34"/>
    </w:rPr>
  </w:style>
  <w:style w:type="paragraph" w:styleId="Heading2">
    <w:name w:val="heading 2"/>
    <w:basedOn w:val="Normal"/>
    <w:next w:val="Normal"/>
    <w:pPr>
      <w:keepNext w:val="1"/>
      <w:keepLines w:val="1"/>
      <w:pageBreakBefore w:val="0"/>
      <w:spacing w:after="0" w:before="360" w:lineRule="auto"/>
      <w:ind w:left="1080" w:firstLine="720"/>
    </w:pPr>
    <w:rPr>
      <w:color w:val="f9423a"/>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before="0" w:lineRule="auto"/>
    </w:pPr>
    <w:rPr>
      <w:color w:val="666666"/>
      <w:sz w:val="52"/>
      <w:szCs w:val="52"/>
    </w:rPr>
  </w:style>
  <w:style w:type="paragraph" w:styleId="Subtitle">
    <w:name w:val="Subtitle"/>
    <w:basedOn w:val="Normal"/>
    <w:next w:val="Normal"/>
    <w:pPr>
      <w:keepNext w:val="1"/>
      <w:keepLines w:val="1"/>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