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  <w:sz w:val="40"/>
          <w:szCs w:val="40"/>
        </w:rPr>
      </w:pPr>
      <w:bookmarkStart w:colFirst="0" w:colLast="0" w:name="_4a8bphewmpp5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40"/>
          <w:szCs w:val="40"/>
          <w:rtl w:val="0"/>
        </w:rPr>
        <w:t xml:space="preserve">Solo taxonomy rubric: </w:t>
      </w:r>
      <w:r w:rsidDel="00000000" w:rsidR="00000000" w:rsidRPr="00000000">
        <w:rPr>
          <w:rFonts w:ascii="Quicksand" w:cs="Quicksand" w:eastAsia="Quicksand" w:hAnsi="Quicksand"/>
          <w:sz w:val="40"/>
          <w:szCs w:val="40"/>
          <w:rtl w:val="0"/>
        </w:rPr>
        <w:t xml:space="preserve">Student-led inquiry</w:t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66666"/>
          <w:sz w:val="30"/>
          <w:szCs w:val="30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color w:val="666666"/>
          <w:sz w:val="30"/>
          <w:szCs w:val="30"/>
          <w:rtl w:val="0"/>
        </w:rPr>
        <w:t xml:space="preserve">Environmental guardianship in Tamatea Dusky Sound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This rubric evaluates students' critical thinking and problem-solving skills in local biodiversity and conservation challenges, tracking their development from initial engagement and basic analysis to advanced critical thinking, comprehensive problem-solving, and innovative approaches with long-term considerations. 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1: Prestructural</w:t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Yet to demonstrate engagement in critical thinking or problem-solving related to a biodiversity and conservation challenge in the local environment.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Yet to identify any relevant questions or issues.</w:t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2: Unistructural</w:t>
      </w:r>
    </w:p>
    <w:p w:rsidR="00000000" w:rsidDel="00000000" w:rsidP="00000000" w:rsidRDefault="00000000" w:rsidRPr="00000000" w14:paraId="0000000C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Attempts basic critical thinking but yet to demonstrate effective problem-solving skills in their local environmental inquiry.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Identifies a biodiversity or conservation challenge with a basic analysis or proposed solution.</w:t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3: Multistructural</w:t>
      </w:r>
    </w:p>
    <w:p w:rsidR="00000000" w:rsidDel="00000000" w:rsidP="00000000" w:rsidRDefault="00000000" w:rsidRPr="00000000" w14:paraId="00000011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Engages in critical thinking by identifying and exploring a biodiversity and conservation challenge in the local environment.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Attempts to address this challenge with a simplistic solution.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Shows some connections between the challenge and their proposed solution.</w:t>
      </w:r>
    </w:p>
    <w:p w:rsidR="00000000" w:rsidDel="00000000" w:rsidP="00000000" w:rsidRDefault="00000000" w:rsidRPr="00000000" w14:paraId="00000015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4: Relational</w:t>
      </w:r>
    </w:p>
    <w:p w:rsidR="00000000" w:rsidDel="00000000" w:rsidP="00000000" w:rsidRDefault="00000000" w:rsidRPr="00000000" w14:paraId="00000017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Demonstrates strong critical thinking and problem-solving skills in their local environmental inquiry.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Identifies and analyses a complex biodiversity and conservation challenge, considering both scientific and societal aspects.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Provides a well-thought-out solution or strategy to address this challenge, demonstrating an understanding of potential impacts.</w:t>
      </w:r>
    </w:p>
    <w:p w:rsidR="00000000" w:rsidDel="00000000" w:rsidP="00000000" w:rsidRDefault="00000000" w:rsidRPr="00000000" w14:paraId="0000001B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icksand" w:cs="Quicksand" w:eastAsia="Quicksand" w:hAnsi="Quicksand"/>
          <w:b w:val="1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b w:val="1"/>
          <w:sz w:val="21"/>
          <w:szCs w:val="21"/>
          <w:rtl w:val="0"/>
        </w:rPr>
        <w:t xml:space="preserve">Level 5: Extended Abstract</w:t>
      </w:r>
    </w:p>
    <w:p w:rsidR="00000000" w:rsidDel="00000000" w:rsidP="00000000" w:rsidRDefault="00000000" w:rsidRPr="00000000" w14:paraId="0000001D">
      <w:pPr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Excels in critical thinking and problem-solving, showing exceptional depth, creativity, and innovation in their local environmental inquiry.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Identifies not only a challenge but also opportunities and an innovative approach to biodiversity and conservation in their local environment.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Quicksand" w:cs="Quicksand" w:eastAsia="Quicksand" w:hAnsi="Quicksand"/>
          <w:sz w:val="21"/>
          <w:szCs w:val="21"/>
        </w:rPr>
      </w:pPr>
      <w:r w:rsidDel="00000000" w:rsidR="00000000" w:rsidRPr="00000000">
        <w:rPr>
          <w:rFonts w:ascii="Quicksand" w:cs="Quicksand" w:eastAsia="Quicksand" w:hAnsi="Quicksand"/>
          <w:sz w:val="21"/>
          <w:szCs w:val="21"/>
          <w:rtl w:val="0"/>
        </w:rPr>
        <w:t xml:space="preserve">Presents a comprehensive and well-supported solution that considers long-term consequences and the broader community impact.</w:t>
      </w:r>
    </w:p>
    <w:p w:rsidR="00000000" w:rsidDel="00000000" w:rsidP="00000000" w:rsidRDefault="00000000" w:rsidRPr="00000000" w14:paraId="00000021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Title"/>
      <w:jc w:val="right"/>
      <w:rPr/>
    </w:pPr>
    <w:bookmarkStart w:colFirst="0" w:colLast="0" w:name="_ojr5mw4hoh6" w:id="1"/>
    <w:bookmarkEnd w:id="1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